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3D995" w14:textId="77777777"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14:paraId="3F495767" w14:textId="77777777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14:paraId="5C5F01D8" w14:textId="77777777"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14:paraId="43D697B5" w14:textId="77777777"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14:paraId="1A86C53C" w14:textId="77777777"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9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14:paraId="58249039" w14:textId="77777777" w:rsidTr="00110AD9">
        <w:tc>
          <w:tcPr>
            <w:tcW w:w="8644" w:type="dxa"/>
            <w:gridSpan w:val="3"/>
          </w:tcPr>
          <w:p w14:paraId="7BAAE4A1" w14:textId="77777777"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14:paraId="6611E900" w14:textId="77777777"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14:paraId="2E595CD8" w14:textId="77777777" w:rsidTr="00110AD9">
        <w:tc>
          <w:tcPr>
            <w:tcW w:w="8644" w:type="dxa"/>
            <w:gridSpan w:val="3"/>
          </w:tcPr>
          <w:p w14:paraId="0DBDB1C7" w14:textId="77777777" w:rsidR="00110AD9" w:rsidRPr="001432E5" w:rsidRDefault="00E1099F" w:rsidP="001432E5">
            <w:pPr>
              <w:spacing w:line="480" w:lineRule="auto"/>
              <w:ind w:firstLine="709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- </w:t>
            </w:r>
          </w:p>
          <w:p w14:paraId="4159D551" w14:textId="77777777"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14:paraId="26A250B4" w14:textId="77777777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14:paraId="354B8AD5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E19E858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2F33F14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14:paraId="38C7A434" w14:textId="77777777" w:rsidR="00E1099F" w:rsidRPr="00FE295D" w:rsidRDefault="00E1099F" w:rsidP="00E1099F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14:paraId="5DF332BC" w14:textId="77777777" w:rsidR="00E1099F" w:rsidRPr="00FE295D" w:rsidRDefault="00E1099F" w:rsidP="00E1099F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14:paraId="55EE39F3" w14:textId="77777777" w:rsidR="00E1099F" w:rsidRPr="00FE295D" w:rsidRDefault="00E1099F" w:rsidP="00E1099F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</w:p>
          <w:p w14:paraId="2F320F72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2E875F08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A558ED9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F55E59C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D567626" w14:textId="75C0D830" w:rsidR="00E1099F" w:rsidRPr="00FE295D" w:rsidRDefault="0056006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E6B4B4" wp14:editId="0F48C52C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155575" t="156210" r="177800" b="1962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63500" dist="29783" dir="3885598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0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  <w:p w14:paraId="78FF7FE5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CDA6A33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2292A06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03E1FFD" w14:textId="77777777"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14:paraId="4A5E17C2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6C24811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6537ECE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14:paraId="3C347B61" w14:textId="77777777" w:rsidR="00E1099F" w:rsidRPr="00FE295D" w:rsidRDefault="00E1099F" w:rsidP="00E1099F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14:paraId="446E0A36" w14:textId="77777777" w:rsidR="00E1099F" w:rsidRPr="00FE295D" w:rsidRDefault="00E1099F" w:rsidP="00E1099F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14:paraId="4C8A8884" w14:textId="77777777" w:rsidR="00E1099F" w:rsidRPr="00FE295D" w:rsidRDefault="00E1099F" w:rsidP="00E1099F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79A4140E" w14:textId="77777777"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14:paraId="07E22FB6" w14:textId="77777777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14:paraId="3BFEC75B" w14:textId="77777777"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14:paraId="3832D037" w14:textId="77777777"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14:paraId="106AA5E0" w14:textId="77777777" w:rsidR="00542CA6" w:rsidRPr="00FE295D" w:rsidRDefault="00542CA6" w:rsidP="00542CA6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14:paraId="666A3852" w14:textId="019B9902"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4E0374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14:paraId="13FF999A" w14:textId="77777777"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FB46D6E" w14:textId="77777777" w:rsidR="00542CA6" w:rsidRPr="00FE295D" w:rsidRDefault="00542CA6" w:rsidP="00542CA6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</w:p>
          <w:p w14:paraId="57D6EF8C" w14:textId="77777777"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  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14:paraId="6BB0BED9" w14:textId="77777777"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769687BC" w14:textId="77777777"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14:paraId="53F0E7BD" w14:textId="77777777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14:paraId="0B4D08B3" w14:textId="77777777"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14:paraId="25537B9E" w14:textId="77777777"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EBA25E8" w14:textId="77777777" w:rsidR="00463004" w:rsidRPr="00FE295D" w:rsidRDefault="00463004" w:rsidP="00463004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14:paraId="164CF007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correta        (   ) incorreta</w:t>
            </w:r>
          </w:p>
          <w:p w14:paraId="20A0FF9B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14:paraId="5B7AA696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B55BB10" w14:textId="77777777" w:rsidR="00463004" w:rsidRPr="00FE295D" w:rsidRDefault="00463004" w:rsidP="00463004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submissao</w:t>
            </w:r>
            <w:proofErr w:type="spellEnd"/>
          </w:p>
          <w:p w14:paraId="72F5FDDF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 ) correta      (   ) incorreta</w:t>
            </w:r>
          </w:p>
          <w:p w14:paraId="62194287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14:paraId="7E1A323F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E0688BB" w14:textId="77777777" w:rsidR="00463004" w:rsidRPr="00FE295D" w:rsidRDefault="00463004" w:rsidP="00463004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14:paraId="6BB852DC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sim      (    ) não</w:t>
            </w:r>
          </w:p>
          <w:p w14:paraId="194FB577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14:paraId="21F14D4E" w14:textId="77777777"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12F7038" w14:textId="77777777"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BF71DDE" w14:textId="77777777"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14:paraId="3BFDEB9F" w14:textId="77777777" w:rsidTr="00630E63">
        <w:tc>
          <w:tcPr>
            <w:tcW w:w="8644" w:type="dxa"/>
          </w:tcPr>
          <w:p w14:paraId="3241B02E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14:paraId="1D10A915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14:paraId="23335256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14:paraId="02EA8091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14:paraId="7952ED8D" w14:textId="49499055"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4E0374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Declarações assinadas por todos os autores, digitalizada no formato PDF.</w:t>
            </w:r>
          </w:p>
          <w:p w14:paraId="7D7020E0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14:paraId="51AA1C72" w14:textId="77777777"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14:paraId="061230FC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14:paraId="02EDF8C9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14:paraId="7E6DE433" w14:textId="2632E5F9"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( </w:t>
            </w:r>
            <w:r w:rsidR="004E0374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14:paraId="58D866AC" w14:textId="77777777"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14:paraId="00E7C5DB" w14:textId="77777777" w:rsidR="00EC2380" w:rsidRDefault="00EC2380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  ) não se aplica (não é pesquisa com seres humanos).</w:t>
            </w:r>
          </w:p>
          <w:p w14:paraId="569E0F37" w14:textId="77777777"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14:paraId="08BA94B7" w14:textId="77777777"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14:paraId="78E7E65A" w14:textId="77777777"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14:paraId="737CFB89" w14:textId="09AD3F47"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  </w:t>
            </w:r>
            <w:r w:rsidR="004E0374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sim     (   )  não</w:t>
            </w:r>
          </w:p>
          <w:p w14:paraId="1CCAA5E4" w14:textId="77777777"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14:paraId="254ADDB1" w14:textId="77777777"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14:paraId="44279C2D" w14:textId="77777777"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14:paraId="3E9F5220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011E5F0F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14:paraId="0531763B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55915641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)legíveis     (    ) ilegíveis</w:t>
            </w:r>
          </w:p>
          <w:p w14:paraId="43A6D004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71870038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14:paraId="63204B38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68F28C51" w14:textId="77777777"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14:paraId="4220CD1C" w14:textId="77777777" w:rsidTr="00630E63">
        <w:tc>
          <w:tcPr>
            <w:tcW w:w="8644" w:type="dxa"/>
          </w:tcPr>
          <w:p w14:paraId="174517B1" w14:textId="77777777"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14:paraId="50AAAE7A" w14:textId="77777777"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14:paraId="3EF45B9B" w14:textId="566134A6"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 </w:t>
            </w:r>
            <w:r w:rsidR="004E0374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14:paraId="3F6B289E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0D02110A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14:paraId="235465BB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77CF7A24" w14:textId="6A2DA46F"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4E0374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14:paraId="6D8DB4A8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70587B5A" w14:textId="77777777"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14:paraId="0D81224F" w14:textId="77777777"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2E0DF8DB" w14:textId="740A383F" w:rsidR="00DB1470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 xml:space="preserve">( </w:t>
            </w:r>
            <w:r w:rsidR="004E0374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14:paraId="6910C053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42AF1707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IV – Resumo</w:t>
            </w:r>
          </w:p>
          <w:p w14:paraId="52135071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4A01E447" w14:textId="471CC7BD"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 </w:t>
            </w:r>
            <w:r w:rsidR="004E0374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Apresentado nos idiomas português, inglês e espanhol, contendo até 150 palavras em todos os idiomas. Contém objetivo, métodos, resultados, considerações finais e descritores.</w:t>
            </w:r>
          </w:p>
          <w:p w14:paraId="459F60D8" w14:textId="77777777"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0E530B46" w14:textId="77777777"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14:paraId="22E436E0" w14:textId="77777777"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2819FCED" w14:textId="36278B6E"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 xml:space="preserve">( </w:t>
            </w:r>
            <w:r w:rsidR="004E0374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10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14:paraId="0808E9DE" w14:textId="77777777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59008DFD" w14:textId="77777777"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14:paraId="0554006D" w14:textId="77777777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02A0FD17" w14:textId="77777777"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>(   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14:paraId="751A0443" w14:textId="261CD8C6"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4E0374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os resultados estão associados com a discussão em pesquisa qualitativa.</w:t>
            </w:r>
          </w:p>
          <w:p w14:paraId="0222854B" w14:textId="77777777"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) não se aplica.</w:t>
            </w:r>
          </w:p>
          <w:p w14:paraId="01603789" w14:textId="3BB4E74A"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4E0374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>)  uso de considerações finais para pesquisa qualitativa</w:t>
            </w:r>
          </w:p>
          <w:p w14:paraId="633F3978" w14:textId="77777777"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 ) uso de conclusão para pesquisa quantitativa.</w:t>
            </w:r>
          </w:p>
          <w:p w14:paraId="0B8C9200" w14:textId="77777777"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) Não utiliza referencias nas considerações finais/conclusão.</w:t>
            </w:r>
          </w:p>
          <w:p w14:paraId="2AC9AF77" w14:textId="77777777"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165D3B2E" w14:textId="77777777"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14:paraId="11B40A1D" w14:textId="77777777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42F4A911" w14:textId="2619E70A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 xml:space="preserve">(  </w:t>
            </w:r>
            <w:r w:rsidR="004E0374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14:paraId="3F06C34C" w14:textId="77777777"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017F1773" w14:textId="4AC1265A"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4E0374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14:paraId="03B34C48" w14:textId="77777777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10820DCC" w14:textId="77777777"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14:paraId="68580D74" w14:textId="77777777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1508FA82" w14:textId="77777777"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14:paraId="147F1157" w14:textId="77777777"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14:paraId="69C8EE5A" w14:textId="77777777"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14:paraId="5C6CD1EE" w14:textId="77777777"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14:paraId="55BE6C21" w14:textId="6EE91B9E"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r w:rsidR="004E0374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14:paraId="05471192" w14:textId="77777777"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279D0E1" w14:textId="7FD55CD4"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4E0374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) Não utiliza anais como referência.</w:t>
            </w:r>
          </w:p>
          <w:p w14:paraId="664EFC1C" w14:textId="77777777"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F2ABD19" w14:textId="37572887"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4E0374">
              <w:rPr>
                <w:rFonts w:ascii="Trebuchet MS" w:hAnsi="Trebuchet MS"/>
                <w:sz w:val="24"/>
                <w:szCs w:val="24"/>
              </w:rPr>
              <w:t>x</w:t>
            </w:r>
            <w:bookmarkStart w:id="0" w:name="_GoBack"/>
            <w:bookmarkEnd w:id="0"/>
            <w:r>
              <w:rPr>
                <w:rFonts w:ascii="Trebuchet MS" w:hAnsi="Trebuchet MS"/>
                <w:sz w:val="24"/>
                <w:szCs w:val="24"/>
              </w:rPr>
              <w:t xml:space="preserve"> ) Se artigo de pesquisa com seres humanos, cita a Resolução CNS 196.</w:t>
            </w:r>
          </w:p>
          <w:p w14:paraId="25A55CBF" w14:textId="77777777"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3E3DE2E" w14:textId="77777777"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7CF7FE6" w14:textId="77777777"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14:paraId="1E6A77B1" w14:textId="77777777"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757E92AC" w14:textId="77777777"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 adequado           (    ) não adequado</w:t>
            </w:r>
          </w:p>
          <w:p w14:paraId="13CDB45E" w14:textId="77777777"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558D3292" w14:textId="77777777"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14:paraId="24D9DC43" w14:textId="77777777"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54E3CC48" w14:textId="77777777"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7F6974AC" w14:textId="77777777" w:rsidR="00FE295D" w:rsidRDefault="00FE295D">
      <w:pPr>
        <w:rPr>
          <w:rFonts w:ascii="Trebuchet MS" w:hAnsi="Trebuchet MS"/>
          <w:sz w:val="24"/>
          <w:szCs w:val="24"/>
        </w:rPr>
      </w:pPr>
    </w:p>
    <w:p w14:paraId="0BADF1F5" w14:textId="77777777" w:rsidR="00FF7B22" w:rsidRDefault="00FF7B22">
      <w:pPr>
        <w:rPr>
          <w:rFonts w:ascii="Trebuchet MS" w:hAnsi="Trebuchet MS"/>
          <w:sz w:val="24"/>
          <w:szCs w:val="24"/>
        </w:rPr>
      </w:pPr>
    </w:p>
    <w:p w14:paraId="2B280711" w14:textId="77777777" w:rsidR="00FE295D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r w:rsidR="00D60A18">
        <w:rPr>
          <w:rFonts w:ascii="Trebuchet MS" w:hAnsi="Trebuchet MS"/>
          <w:sz w:val="24"/>
          <w:szCs w:val="24"/>
        </w:rPr>
        <w:t xml:space="preserve"> </w:t>
      </w:r>
    </w:p>
    <w:p w14:paraId="39A3E075" w14:textId="77777777"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1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2EF94" w14:textId="77777777" w:rsidR="00724A3C" w:rsidRDefault="00724A3C" w:rsidP="007D1AF4">
      <w:pPr>
        <w:spacing w:after="0" w:line="240" w:lineRule="auto"/>
      </w:pPr>
      <w:r>
        <w:separator/>
      </w:r>
    </w:p>
  </w:endnote>
  <w:endnote w:type="continuationSeparator" w:id="0">
    <w:p w14:paraId="2DFBA062" w14:textId="77777777" w:rsidR="00724A3C" w:rsidRDefault="00724A3C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TrebuchetMS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F532D" w14:textId="77777777" w:rsidR="00724A3C" w:rsidRDefault="00724A3C" w:rsidP="007D1AF4">
      <w:pPr>
        <w:spacing w:after="0" w:line="240" w:lineRule="auto"/>
      </w:pPr>
      <w:r>
        <w:separator/>
      </w:r>
    </w:p>
  </w:footnote>
  <w:footnote w:type="continuationSeparator" w:id="0">
    <w:p w14:paraId="6ECAC26A" w14:textId="77777777" w:rsidR="00724A3C" w:rsidRDefault="00724A3C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142B1" w14:textId="77777777" w:rsidR="007D1AF4" w:rsidRDefault="007D1AF4">
    <w:pPr>
      <w:pStyle w:val="Header"/>
    </w:pPr>
    <w:r>
      <w:rPr>
        <w:noProof/>
        <w:lang w:val="en-US" w:eastAsia="en-US"/>
      </w:rPr>
      <w:drawing>
        <wp:inline distT="0" distB="0" distL="0" distR="0" wp14:anchorId="2372A84C" wp14:editId="00AF4394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352D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5F14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74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6268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0061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A3C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3AC2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0A4A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basedOn w:val="TableNormal"/>
    <w:uiPriority w:val="99"/>
    <w:qFormat/>
    <w:rsid w:val="0011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0A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AF4"/>
  </w:style>
  <w:style w:type="paragraph" w:styleId="Footer">
    <w:name w:val="footer"/>
    <w:basedOn w:val="Normal"/>
    <w:link w:val="Footer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1AF4"/>
  </w:style>
  <w:style w:type="paragraph" w:styleId="BalloonText">
    <w:name w:val="Balloon Text"/>
    <w:basedOn w:val="Normal"/>
    <w:link w:val="BalloonText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0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basedOn w:val="TableNormal"/>
    <w:uiPriority w:val="99"/>
    <w:qFormat/>
    <w:rsid w:val="0011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0A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AF4"/>
  </w:style>
  <w:style w:type="paragraph" w:styleId="Footer">
    <w:name w:val="footer"/>
    <w:basedOn w:val="Normal"/>
    <w:link w:val="Footer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1AF4"/>
  </w:style>
  <w:style w:type="paragraph" w:styleId="BalloonText">
    <w:name w:val="Balloon Text"/>
    <w:basedOn w:val="Normal"/>
    <w:link w:val="BalloonText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0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ufpel.tche.br/revistas/index.php/enfermagemesaude/index" TargetMode="External"/><Relationship Id="rId10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2838F-E9DE-8347-9676-8FEEDD0B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631</Words>
  <Characters>3598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Jandro  Cortes</cp:lastModifiedBy>
  <cp:revision>3</cp:revision>
  <cp:lastPrinted>2014-04-06T19:42:00Z</cp:lastPrinted>
  <dcterms:created xsi:type="dcterms:W3CDTF">2015-07-14T19:11:00Z</dcterms:created>
  <dcterms:modified xsi:type="dcterms:W3CDTF">2015-07-14T19:19:00Z</dcterms:modified>
</cp:coreProperties>
</file>